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2024/27 vom 13. März 2025</w:t>
      </w:r>
    </w:p>
    <w:p>
      <w:r>
        <w:t>Sg Versicherungsgericht, 2025-03-13, DE</w:t>
      </w:r>
    </w:p>
    <w:p>
      <w:r>
        <w:rPr>
          <w:b/>
        </w:rPr>
        <w:t xml:space="preserve">Quelle: </w:t>
      </w:r>
      <w:r>
        <w:t>https://mcp.opencaselaw.ch/entscheid/sg_publikationen_EL 2024_27</w:t>
      </w:r>
    </w:p>
    <w:p>
      <w:r>
        <w:t>FR: SG_VERSICHERUNGSGERICHT EL 2024/27 du 13 mars 2025</w:t>
      </w:r>
    </w:p>
    <w:p>
      <w:r>
        <w:t>IT: SG_VERSICHERUNGSGERICHT EL 2024/27 del 13 marzo 2025</w:t>
      </w:r>
    </w:p>
    <w:p>
      <w:pPr>
        <w:pStyle w:val="Heading2"/>
      </w:pPr>
      <w:r>
        <w:t>Regeste</w:t>
      </w:r>
    </w:p>
    <w:p>
      <w:r>
        <w:t>Art. 16c ELV. Mietzinsaufteilung. Untermiete. Untermietvertrag (Entscheid des Versicherungsgerichts des Kantons St. Gallen vom 13. März 2025, EL 2024/27).</w:t>
      </w:r>
    </w:p>
    <w:p>
      <w:pPr>
        <w:pStyle w:val="Heading2"/>
      </w:pPr>
      <w:r>
        <w:t>Erwägungen</w:t>
      </w:r>
    </w:p>
    <w:p>
      <w:r>
        <w:rPr>
          <w:b/>
        </w:rPr>
        <w:t>E. 1.1</w:t>
      </w:r>
    </w:p>
    <w:p>
      <w:r>
        <w:t>Die Beschwerdegegnerin hat das Verwaltungsverfahren betreffend die im Januar 2023 eingereichte Anmeldung des Beschwerdeführers zum Be zug von Ergänzungsleistungen mit einer Verfügung vom 31. Oktober 2023 abgeschlossen. Diese Verfügung ist allerdings nicht i n formelle Rechtskraft erwachsen, da der Beschwerdeführer am 2 5. November 2023 eine Einsprache dagegen erhoben hat. Trotzdem hat die Beschwerdegegnerin umgehend begonnen, dem Beschwerdeführer eine Ergänzungsleistung auszubezahlen. Die Verfügung vom 31. Oktober 2023 muss also zusätzlich eine vorsorgliche Anordnung hinsichtlich der sofortigen Auszahlung der noch nicht verbindlich festgesetzten Ergänzungsleistung enthalten haben, die mangels Anfechtung in formelle Rechtskraft erwachsen und damit verbindlich geworden ist. Die am 15. Dezember 2023 (während des hängigen Einspracheverfahrens betreffend die Verfügung vom 3 1. Oktober 2023) ergangene Verfügung kann keine materielle Verfügung gewesen sein, weil sie e ine Ergänzungsleistung per 1. Januar 2024 angepasst hat, die gar nie verbindlich zugesprochen worden war. Mit ihr kann die Beschwerdegegnerin also nur die verbindliche vorsorgliche Vollzugsanordnung vom 31. Oktober 2023 modifiziert haben, was bedeutet, dass die Verfügung vom 15. Dezember 2023 eine vorsorgliche Anordnung gewesen ist, die in Verfügungsform gekleidet worden ist. Dasselbe muss natürlich auch in Bezug auf die am 26. Januar 2024 (wiederum in Verfügungsform gekleidete) ergangene vorsorgliche Anordnung gelten, die jene vom 15. Dezember 2023 integral ersetzt hat. Am 9. Mai 2024 ist eine dritte vorsorgliche Vollzugsanordnung in Verfügungsform ergangen, die den laufenden Vollzug mit Wirkung per 1. April 2024 modifiziert hat. Die Beschwerdegegnerin hat sich im angefochtenen Einspracheentscheid sowohl mit dem materiellen EL 2024/27 5/10</w:t>
      </w:r>
    </w:p>
    <w:p>
      <w:r>
        <w:t>Anspruch ab Januar 2023 als auch mit ihren vorsorgl ichen Anordnungen befasst. Die Beschwerdeschrift vom 19. August 2024 richtet sich allerdings nur gegen den materiellen Teil des Einspracheentscheides und nicht gegen die vorsorgli chen Anordnungen. Den Gegenstand dieses Beschwerdeverfahrens bildet deshalb nur die erstmal ige Zusprache einer Ergänzungsleistung unter Berücksichtigung der Sachverhaltsentwicklung bis zum 31. Oktober 2023.</w:t>
      </w:r>
    </w:p>
    <w:p>
      <w:r>
        <w:rPr>
          <w:b/>
        </w:rPr>
        <w:t>E. 1.2</w:t>
      </w:r>
    </w:p>
    <w:p>
      <w:r>
        <w:t>In seiner Beschwerdeschrift hat der Beschwerdeführe r nur die Mietzinsaufteilung kritisiert; mit allem anderen hat er sich einverstanden erklärt. Na ch dem vom Bundesgericht propagierten Rügeprinzip dürfte sich das Versicherungsgericht angesichts dieser klar spezifizierten Rüge nur mit der Frage nach der Mietzinsaufteilung befassen. Die übr igen Ausgaben- und Einnahmenpositionen wie auch die allgemeinen Anspruchsvoraussetzungen dürfte es nicht prüfen. Damit würde der Gegenstand dieses Beschwerdeverfahrens auf ein einziges Sachve rhaltselement reduziert, das unter den entsprechenden Ausschnitt des gesetzlichen Tatbesta ndes zu subsumieren wäre. Dem Versicherungsgericht wäre es folglich verwehrt, den gesamten Sachverhalt unter die gesetzlichen Normen zu subsumieren und eine entsprechende Rechtsfolge anzuordnen. Der Entscheid des Versicherungsgericht könnte also zum Vorneherein keine rechtsgestaltende Wirkung haben; er müsste eine reine Feststellung bezüglich des geprüften Tatbestands- und Sachverhaltselementes sein. Mit der Spezifizierung seiner Rüge könnte der Beschwerdefüh rer also bewirken, dass anstelle eines rechtsgestaltenden ein bloss feststellender Entsche id erginge, was aber offenkundig dem Sinn und Zweck des Beschwerdeverfahrens sowie dem System des öffentlichen Verfahrensrechtes diametral zuwiderliefe. Zudem könnte an einer blossen Festste llung bezüglich des anrechenbaren Mietzinses zum Vorneherein kein schutzwürdiges Interesse bestehen, weshalb eine konsequente Anwendung des vom Bundesgericht propagierten Rügeprinzips einen Nichteintretensentscheid zur Folge haben müsste, was offenkundig absurd wäre. Damit steht fest, dass das Rügeprinzip im kantonalen Beschwerdeverfahren nicht gelten kann. Die Beachtun g des Rügeprinzips wäre augenscheinlich rechtswidrig, weshalb ungeachtet der spezifischen Rüge in der Beschwerdeschrift umfassend zu prüfen ist, ob die Anspruchsvoraussetzungen erfüllt gewese n sind und wie hoch ein allfälliger EL -Anspruch des Beschwerdeführers in der Zeit ab Januar 2023 gewesen ist.</w:t>
      </w:r>
    </w:p>
    <w:p>
      <w:r>
        <w:rPr>
          <w:b/>
        </w:rPr>
        <w:t>E. 2</w:t>
      </w:r>
    </w:p>
    <w:p>
      <w:r>
        <w:t>Der Beschwerdeführer hat seinen Wohnsitz und seinen gewöhnlichen Aufenthalt in der Schweiz gehabt und er hat gestützt auf eine Verfügung vom 14. Juni 2022 (vgl. EL -act. 107–4) ab Juli 2022 eine Altersrente der AHV bezogen. Damit hat er die persönlichen Anspruchsvoraussetzungen des Art. 4 Abs. 1 ELG erfüllt. Da er sich im Januar 2023 zum Bezug von Ergänzungsleistungen angemeldet hat, hat er grundsätzlich ab dem 1. Januar 2023 einen Anspruch auf eine Ergänzungsleistung haben können (Art. 12 Abs. 1 ELG). Gemäss dem Art. 22 Abs. 1 ELV hätte der EL-Anspruch bereits ab Juli 2022 (Beginn des Rentenanspruchs) entstehen können, aber dazu hä tte der Beschwerdeführer sich innert sechs EL 2024/27 6/10</w:t>
      </w:r>
    </w:p>
    <w:p>
      <w:r>
        <w:t>Monaten seit der Zustellung der Verfügung vom 14. Juni 2022 zum Bezug von Ergänzungsleistungen anmelden müssen, was er nicht getan hat; die Anmeld ung ist erst rund sieben Monate später erfolgt. Der Beginn eines allfälligen EL-Anspruchs ist folglich auf den 1. Januar 2023 festzusetzen.</w:t>
      </w:r>
    </w:p>
    <w:p>
      <w:r>
        <w:rPr>
          <w:b/>
        </w:rPr>
        <w:t>E. 3</w:t>
      </w:r>
    </w:p>
    <w:p>
      <w:r>
        <w:t>Als Ausgaben sind die effektive Krankenkassenprämie von 449.80 Franken pro Monat (EL -act. 106) respektive von 5’397.60 Franken pro Jahr, die geseztliche Pauschale für den allgemeinen Lebensbedarf von 20’100 Franken sowie die Wohnkosten zu berücksi chtigen. Der Mietzins für die Wohnung, in der der Beschwerdeführer gelebt hat, hat 1’261 Frankenp ro Monat (ohne Garage; EL-act. 105–3) betragen. Die im Mietvertrag aus dem Jahr 2010 noch erwähnten TV-Anschlussgebühren von 14 Franken pro Monat sind nicht abzuziehen, da der Beschwerdeführe r die TV -Anschlussgebühren im hier massgebenden Zeitraum direkt dem Kabelanbieter beza hlt hat (vgl. EL -act. 66). Die Beschwerdegegnerin hat sich auf den Standpunkt gestellt, für die EL-Anspruchsberechnung dürfe nicht die Differenz zwischen dem Haupt- und dem Untermietzins, sondern nur der halbe Mietzi ns für die ganze Wohnung berücksichtigt werden. Der Beschwerde führer teile sich nämlich seine Wohnung mit einer zweiten Person, weshalb der Mietzins nach Köp fen hälftig aufzuteilen sei (vgl. Art. 16c ELV). Gemäss der Auffassung des Bundesgerichtes komme ein Abweichen von der Regel der Mietzinsaufteilung nach Köpfen nur in ganz besonder en Ausnahmefällen in Frage, von denen hier keiner vorliege. Die Argumentation der Beschwerdege gnerin geht fehl. Der Art. 16c ELV ist eine Ausführungsbestimmung zum Art. 10 Abs. 1 lit. b ELG, deren Zweck allein darin besteht sicherzustellen, dass die Ergänzungsleistung nur die Befriedigung de s Wohnbedürfnisses von anspruchsberechtigten Personen deckt. Teilen s ich EL-Bezüger die Wohnung mit Personen, die keinen Anspru ch auf eine Ergänzungsleistung begründen, soll der auf die nich t anspruchsberechtigten Personen entfallende Anteil an den Wohnkosten aus der Anspruchsberechnun g ausgeklammert werden. Gemessen an diesem Sinn und Zweck schiesst der Wortlaut des Art. 1 6c ELV weit über das Ziel hinaus, denn er erfasst unter anderem auch Situationen, in denen ei n Untermietverhältnis begründet worden ist. In solchen Situationen ist aber bereits eine Aufteilun g der Wohnkosten vertraglich, nämlich durch den Untermietvertrag, geregelt, weshalb kein sachlicher Grund für eine davon abweichende, fiktive Aufteilung der Wohnkosten in Anwendung des Wortlautes des Art. 16c ELV bestehen kann. Bewohnt beispielsweise ein EL-Bezüger eine Wohnung, deren Mietzins 1’500 Franken beträgt und vermietet er die Hälfte dieser Wohnung an einen Untermieter weiter, der ihm dafür 900 Franken pro Monat bezahlt, käme niemand auf die Idee, bei der EL -Anspruchsberechnung eine hälftige Aufteilung des Gesamtmietzinses vorzunehmen respektive einen Anteil von 750 Franken statt der effektiv verbleibenden Mietkosten von 600 Franken zu berücks ichtigen. Der Wortlaut des Art. 16c ELV muss also offenkundig teleologisch reduziert werden. Die se Vollzugsbestimmung kann nur dort zur Anwendung kommen, wo keine vertragliche Abmachung b ezüglich der Aufteilung der Wohnkosten EL 2024/27 7/10</w:t>
      </w:r>
    </w:p>
    <w:p>
      <w:r>
        <w:t>existiert. Ist eine Aufteilung der Wohnkosten vertr aglich geregelt worden, muss grundsätzlich die vertragliche Abmachung massgebend sein. Allerdings sind EL-Bezüger, die einen Teil ihrer Wohnung untervermieten, in Erfüllung ihrer EL -spezifischen Schaden minderungspflicht gehalten, einen marktüblichen Untermietzins zu verlangen, weshalb e in unter dem marktüblichen Wert liegender Untermietzins in der Regel als ein Einnahmenverzich t qualifiziert werden muss, was die Anrechnung eines fiktiven, dem marktüblichen Mietwert entsprechenden Untermietzinses zur Folge hat. Im hier zu beurteilenden Fall hat ein Untermietvertrag bestanden, der überwiegend wahrscheinlich nicht simuliert gewesen ist. Der Untermietzins erscheint zwar als e her tief (die effektive Nutzung bzw. Nichtnutzung der Wohnung durch den Untermieter ist irrelevant), liegt aber angesichts des dem Untermieter vertraglich zur Verfügung stehenden kleinen Teils der Wohnung nach der allgemeinen Lebenserfahrung noch im marktüblichen Bereich. Bei der Anspruchsber echnung ist der gesamte Mietzins als Ausgabe zu berücksichtigen; der erzielte Untermietzins ist als Einnahme anzurechnen. Das massgebende Ausgabentotal hat sich im hier massgebenden Zeitraum zusammenfassend auf 5’397.60 + 20’100 + 12 × 1’261 = 40’629.60 Franken belaufen.</w:t>
      </w:r>
    </w:p>
    <w:p>
      <w:r>
        <w:rPr>
          <w:b/>
        </w:rPr>
        <w:t>E. 4.1</w:t>
      </w:r>
    </w:p>
    <w:p>
      <w:r>
        <w:t>Als Einnahmen sind die Altersrente der AHV von 944 Franken pro Monat respektive von 11’328 Franken pro Jahr (vgl. EL-act. 76–3), die Rente der beruflichen Vorsorge von 964.65 Franken pro Monat respektive von 11’576 Franken pro Jahr (vgl. EL-act. 79–4) und die Rente aus dem Herkunftsland des Beschwerdeführers von 70.54 Euro (vgl. EL -act. 107–6) anzurechnen. Bezüglich der Rente aus dem Ausland müsste an sich jener Betrag in Franken massgebend sein, der dem Beschwerdeführer jeweils effektiv gutgeschrieben worden ist. Der Gesetzgeber hat aber im Art. 32 Abs. 1 lit. b ELG die EG - Verordnung Nr. 987/2009 ausdrücklich für anwendbar erklärt, was bedeutet, dass auf die Bestimmungen über die Währungsumrechnung der Verordnung Nr. 987/2009 abgestellt werden muss (vgl. das Urteil des Bundesgerichtes 8C_701/2023 vom 9. April 2024, E. 5.1, mit Hinweisen). Nach Art. 90 der EG -Verordnung Nr. 987/2009 ist der von der Europäische n Zentralbank veröffentlichte Referenzwechselkurs anzuwenden. Massgebend ist der erste verfügbare Tageskurs jenes Monats, der dem Monat des Anspruchsbeginns unmittelbar vorausge ht (Rz. 3453.01 WEL, mit Hinweis). Der Referenzwechselkurs hat am 1. Dezember 2022 0.9868 betragen. Der massgebende jährliche Betrag der ausländischen Rente hat sich folglich auf 14 × 70.54 × 0.9868 = 975 Franken belaufen.</w:t>
      </w:r>
    </w:p>
    <w:p>
      <w:r>
        <w:rPr>
          <w:b/>
        </w:rPr>
        <w:t>E. 4.2</w:t>
      </w:r>
    </w:p>
    <w:p>
      <w:r>
        <w:t>Der Beschwerdeführer hat gemäss seiner Deklaration gegenüber den Steuerbehörden am 31. Dezember 2022 über ein Sparguthaben von insgesamt 41’110 Franken verfügt, was dem Ergebnis der Berechnung der Beschwerdegegnerin entsprochen hat ( vgl. EL -act. 76 –2). All erdings hat die Beschwerdegegnerin versehentlich zwei Kontostände per 30. November 2022 berücksichtigt, die sich im Lauf des Monats Dezember 2022 noch verändert hab en (vgl. EL-act. 103–4 f.). Bei einem dritten Konto hat sie einen falschen Saldo berücksichtigt (vgl. EL-act. 103–3). Bei richtiger Berechnung ergibt EL 2024/27 8/10</w:t>
      </w:r>
    </w:p>
    <w:p>
      <w:r>
        <w:t>sich ein Sparguthaben von 13’678.86 + 16.08 + 1’673 .41 + 1’660.76 + 23’611.26 × 0,9868 + 200 = 40’529 Franken. Davon sind Schulden von 2’033 Franken (EL-act. 104–1) und von 9’000 Franken (EL- act. 107–8) abzuziehen. Das Freizügigkeitsguthaben bei der WIR Bank, das er hätte beziehen können, da er das ordentliche Rentenalter erreicht hatte, hat sich auf 40’591 Franken belaufen (EL-act. 103–9). Gemäss der Berechnung der Beschwerdegegnerin mittel s des Steuerkalkulators hätte der Beschwerdeführer bei einem Bezug dieses Guthabens Steuern von 1’957 Franken bezahlen müssen (vgl. EL -act. 76–2). Damit ergibt sich ein Reinvermögen von 68’130 F ranken. Nach Abzug des gesetzlichen Freibetrages von 30’000 Franken verble ibt ein anrechenbares Vermögen von 38’130 Franken. Folglich ist als weitere Einnahme ein hypo thetischer Vermögensverzehr von 3’813 Franken anzurechnen (Art. 11 Abs. 1 lit. c ELG). Der Vermög ensertrag hat sich auf insgesamt 1’541 Franken belaufen.</w:t>
      </w:r>
    </w:p>
    <w:p>
      <w:r>
        <w:rPr>
          <w:b/>
        </w:rPr>
        <w:t>E. 4.3</w:t>
      </w:r>
    </w:p>
    <w:p>
      <w:r>
        <w:t>Als weitere Einnahme ist der Untermietzins von 250 Franken pro Monat respektive von 3’000 Franken pro Jahr anzurechnen (vgl. E. 3). Damit ergibt sich ein Einnahmentotal von 11’328 + 11’576 + 975 + 3’813 + 1’541 + 3’000 = 32’233 Franken.</w:t>
      </w:r>
    </w:p>
    <w:p>
      <w:r>
        <w:rPr>
          <w:b/>
        </w:rPr>
        <w:t>E. 5</w:t>
      </w:r>
    </w:p>
    <w:p>
      <w:r>
        <w:t>Die anerkannten Ausgaben von insgesamt 40’629.60 Fr anken haben die anrechenbaren Einnahmen von 32’233 Franken um 8’396.60 Franken überstiegen. Der Beschwerdeführer hat folglich ab Januar 2023 einen Anspruch auf eine monatliche Ergänzungsl eistung von 699.80 Franken, wovon 449.80 Franken direkt an die obligatorische Krankenpflegev ersicherung auszubezahlen sind. Dem Beschwerdeführer steht für sich selbst eine monatli che Ergänzungsleistung von 250 Franken (= [8’396.60 – 5’397.60] Franken ÷ 12) zu.</w:t>
      </w:r>
    </w:p>
    <w:p>
      <w:r>
        <w:rPr>
          <w:b/>
        </w:rPr>
        <w:t>E. 6</w:t>
      </w:r>
    </w:p>
    <w:p>
      <w:r>
        <w:t>Gerichtskosten sind nicht zu erheben. EL 2024/27 9/10</w:t>
      </w:r>
    </w:p>
    <w:p>
      <w:r>
        <w:t>Entscheid im Zirkulationsverfahren gemäss Art. 39 VRP 1. Dem Beschwerdeführer wird mit Wirkung ab dem 1. Januar 2023 eine monatliche Ergänzungsleistung von 699.80 Franken zugesprochen. 2. Es werden keine Gerichtskosten erhoben. EL 2024/27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